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D488F" w:rsidRPr="00BA38A1" w:rsidRDefault="003A2BBE" w:rsidP="001B6001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br/>
      </w:r>
      <w:r w:rsidR="00CB49E2">
        <w:rPr>
          <w:rFonts w:cs="Aharoni"/>
          <w:b/>
          <w:sz w:val="44"/>
          <w:szCs w:val="44"/>
        </w:rPr>
        <w:t>Nombre:</w:t>
      </w:r>
      <w:r w:rsidR="000C79F2" w:rsidRPr="000C79F2">
        <w:rPr>
          <w:rFonts w:ascii="Times New Roman" w:hAnsi="Times New Roman" w:cs="Times New Roman"/>
        </w:rPr>
        <w:t xml:space="preserve"> </w:t>
      </w:r>
      <w:r w:rsidR="006046D9" w:rsidRPr="006046D9">
        <w:rPr>
          <w:rFonts w:cs="Aharoni"/>
          <w:b/>
          <w:sz w:val="44"/>
          <w:szCs w:val="44"/>
        </w:rPr>
        <w:t>Mario Ángel Flores Ramos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3D488F" w:rsidTr="001B6001">
        <w:tc>
          <w:tcPr>
            <w:tcW w:w="2518" w:type="dxa"/>
          </w:tcPr>
          <w:p w:rsidR="003D488F" w:rsidRDefault="003E2882">
            <w:r>
              <w:rPr>
                <w:rFonts w:asciiTheme="majorHAnsi" w:hAnsiTheme="majorHAnsi"/>
                <w:sz w:val="34"/>
                <w:szCs w:val="34"/>
              </w:rPr>
              <w:t>Estudios</w:t>
            </w:r>
          </w:p>
        </w:tc>
        <w:tc>
          <w:tcPr>
            <w:tcW w:w="6460" w:type="dxa"/>
          </w:tcPr>
          <w:p w:rsidR="007E3D0C" w:rsidRDefault="007E3D0C" w:rsidP="007E3D0C">
            <w:pPr>
              <w:pStyle w:val="Prrafodelista"/>
              <w:numPr>
                <w:ilvl w:val="0"/>
                <w:numId w:val="4"/>
              </w:numPr>
              <w:ind w:left="459"/>
            </w:pPr>
            <w:r>
              <w:t>Filosofía en el Instituto Superior de Estudios Eclesiásticos (</w:t>
            </w:r>
            <w:proofErr w:type="spellStart"/>
            <w:r>
              <w:t>ISEE</w:t>
            </w:r>
            <w:proofErr w:type="spellEnd"/>
            <w:r>
              <w:t>), del</w:t>
            </w:r>
            <w:r>
              <w:t xml:space="preserve"> </w:t>
            </w:r>
            <w:r>
              <w:t>Seminario Conciliar de México (1971-1974).</w:t>
            </w:r>
          </w:p>
          <w:p w:rsidR="007E3D0C" w:rsidRDefault="007E3D0C" w:rsidP="007E3D0C">
            <w:pPr>
              <w:pStyle w:val="Prrafodelista"/>
              <w:numPr>
                <w:ilvl w:val="0"/>
                <w:numId w:val="4"/>
              </w:numPr>
              <w:ind w:left="459"/>
            </w:pPr>
            <w:r>
              <w:t>Bachillerato teológico en la Pontificia Universidad Gregoriana de</w:t>
            </w:r>
            <w:r>
              <w:t xml:space="preserve"> </w:t>
            </w:r>
            <w:r>
              <w:t>Roma. (</w:t>
            </w:r>
            <w:proofErr w:type="spellStart"/>
            <w:r>
              <w:t>ISEE</w:t>
            </w:r>
            <w:proofErr w:type="spellEnd"/>
            <w:r>
              <w:t xml:space="preserve"> 1974-1976) (</w:t>
            </w:r>
            <w:proofErr w:type="spellStart"/>
            <w:r>
              <w:t>PUG</w:t>
            </w:r>
            <w:proofErr w:type="spellEnd"/>
            <w:r>
              <w:t xml:space="preserve"> 1976-1978)</w:t>
            </w:r>
          </w:p>
          <w:p w:rsidR="007E3D0C" w:rsidRDefault="007E3D0C" w:rsidP="007E3D0C">
            <w:pPr>
              <w:pStyle w:val="Prrafodelista"/>
              <w:numPr>
                <w:ilvl w:val="0"/>
                <w:numId w:val="4"/>
              </w:numPr>
              <w:ind w:left="459"/>
            </w:pPr>
            <w:r>
              <w:t>Licenciatura en Teología y Ciencias Patrísticas en el Instituto Patrístico</w:t>
            </w:r>
            <w:r>
              <w:t xml:space="preserve">, </w:t>
            </w:r>
            <w:proofErr w:type="spellStart"/>
            <w:r>
              <w:t>Augustinianum</w:t>
            </w:r>
            <w:proofErr w:type="spellEnd"/>
            <w:r>
              <w:t xml:space="preserve"> de Roma (1978-1981).</w:t>
            </w:r>
          </w:p>
          <w:p w:rsidR="00D77BA5" w:rsidRPr="00DD6CBB" w:rsidRDefault="007E3D0C" w:rsidP="007E3D0C">
            <w:pPr>
              <w:pStyle w:val="Prrafodelista"/>
              <w:numPr>
                <w:ilvl w:val="0"/>
                <w:numId w:val="4"/>
              </w:numPr>
              <w:ind w:left="459"/>
            </w:pPr>
            <w:r>
              <w:t>Investigación y defensa de la Tesis de Doctorado en Teología y</w:t>
            </w:r>
            <w:r>
              <w:t xml:space="preserve"> </w:t>
            </w:r>
            <w:r>
              <w:t xml:space="preserve">Ciencias Patrísticas en el Instituto </w:t>
            </w:r>
            <w:r>
              <w:t>P</w:t>
            </w:r>
            <w:r>
              <w:t xml:space="preserve">atrístico </w:t>
            </w:r>
            <w:proofErr w:type="spellStart"/>
            <w:r>
              <w:t>Augustinianum</w:t>
            </w:r>
            <w:proofErr w:type="spellEnd"/>
            <w:r>
              <w:t xml:space="preserve"> de Roma</w:t>
            </w:r>
            <w:r>
              <w:t xml:space="preserve"> </w:t>
            </w:r>
            <w:r>
              <w:t>(1981-1983) Tesis doctoral: “El Testimonio Mesiánico de Juan</w:t>
            </w:r>
            <w:r>
              <w:t xml:space="preserve"> </w:t>
            </w:r>
            <w:r>
              <w:t>Bautista. Un estudio de Exégesis patrística al cuarto evangelio” dirigida</w:t>
            </w:r>
            <w:r>
              <w:t xml:space="preserve"> </w:t>
            </w:r>
            <w:r>
              <w:t xml:space="preserve">por Jean </w:t>
            </w:r>
            <w:proofErr w:type="spellStart"/>
            <w:r>
              <w:t>Gribomont</w:t>
            </w:r>
            <w:proofErr w:type="spellEnd"/>
            <w:r>
              <w:t xml:space="preserve"> </w:t>
            </w:r>
            <w:proofErr w:type="spellStart"/>
            <w:r>
              <w:t>OSB</w:t>
            </w:r>
            <w:proofErr w:type="spellEnd"/>
            <w:r>
              <w:t xml:space="preserve"> (5 de octubre de 1983).</w:t>
            </w:r>
          </w:p>
        </w:tc>
      </w:tr>
      <w:tr w:rsidR="003D488F" w:rsidTr="007E3D0C">
        <w:trPr>
          <w:trHeight w:val="2825"/>
        </w:trPr>
        <w:tc>
          <w:tcPr>
            <w:tcW w:w="2518" w:type="dxa"/>
          </w:tcPr>
          <w:p w:rsidR="003D488F" w:rsidRDefault="003D488F">
            <w:r w:rsidRPr="009C6435">
              <w:rPr>
                <w:rFonts w:asciiTheme="majorHAnsi" w:hAnsiTheme="majorHAnsi"/>
                <w:sz w:val="34"/>
                <w:szCs w:val="34"/>
              </w:rPr>
              <w:t>Publicaciones</w:t>
            </w:r>
          </w:p>
        </w:tc>
        <w:tc>
          <w:tcPr>
            <w:tcW w:w="6460" w:type="dxa"/>
          </w:tcPr>
          <w:p w:rsidR="007E3D0C" w:rsidRPr="007E3D0C" w:rsidRDefault="007E3D0C" w:rsidP="007E3D0C">
            <w:pPr>
              <w:pStyle w:val="Prrafodelista"/>
              <w:numPr>
                <w:ilvl w:val="0"/>
                <w:numId w:val="8"/>
              </w:numPr>
              <w:ind w:left="459"/>
            </w:pPr>
            <w:r w:rsidRPr="007E3D0C">
              <w:t>Iglesia y Fe. Textos para la formación de la Acción Católica, México 1986.</w:t>
            </w:r>
          </w:p>
          <w:p w:rsidR="007E3D0C" w:rsidRPr="007E3D0C" w:rsidRDefault="007E3D0C" w:rsidP="007E3D0C">
            <w:pPr>
              <w:pStyle w:val="Prrafodelista"/>
              <w:numPr>
                <w:ilvl w:val="0"/>
                <w:numId w:val="8"/>
              </w:numPr>
              <w:ind w:left="459"/>
            </w:pPr>
            <w:r w:rsidRPr="007E3D0C">
              <w:t>El Pensamiento social de los Padres de la Iglesia. Instituto Mexicano de Doctrina Social Cristiana, 1987 (diversas reediciones).</w:t>
            </w:r>
          </w:p>
          <w:p w:rsidR="007E3D0C" w:rsidRPr="007E3D0C" w:rsidRDefault="007E3D0C" w:rsidP="007E3D0C">
            <w:pPr>
              <w:pStyle w:val="Prrafodelista"/>
              <w:numPr>
                <w:ilvl w:val="0"/>
                <w:numId w:val="8"/>
              </w:numPr>
              <w:ind w:left="459"/>
            </w:pPr>
            <w:r w:rsidRPr="007E3D0C">
              <w:t>El Camino de Cristo. Textos para la formación de la Acción Católica, México 1988.</w:t>
            </w:r>
          </w:p>
          <w:p w:rsidR="007E3D0C" w:rsidRPr="007E3D0C" w:rsidRDefault="007E3D0C" w:rsidP="007E3D0C">
            <w:pPr>
              <w:pStyle w:val="Prrafodelista"/>
              <w:numPr>
                <w:ilvl w:val="0"/>
                <w:numId w:val="8"/>
              </w:numPr>
              <w:ind w:left="459"/>
            </w:pPr>
            <w:r w:rsidRPr="007E3D0C">
              <w:t xml:space="preserve">San José en los Padres de la Iglesia. Revista Josefina de Investigación y Análisis </w:t>
            </w:r>
            <w:proofErr w:type="spellStart"/>
            <w:r w:rsidRPr="007E3D0C">
              <w:t>Vilasecanum</w:t>
            </w:r>
            <w:proofErr w:type="spellEnd"/>
            <w:r w:rsidRPr="007E3D0C">
              <w:t>, 1989.</w:t>
            </w:r>
          </w:p>
          <w:p w:rsidR="007E3D0C" w:rsidRPr="007E3D0C" w:rsidRDefault="007E3D0C" w:rsidP="007E3D0C">
            <w:pPr>
              <w:pStyle w:val="Prrafodelista"/>
              <w:numPr>
                <w:ilvl w:val="0"/>
                <w:numId w:val="8"/>
              </w:numPr>
              <w:ind w:left="459"/>
            </w:pPr>
            <w:r w:rsidRPr="007E3D0C">
              <w:t xml:space="preserve">Dimensión social de la Fe. Pontificio Consejo Justicia y Paz, colección sal de la tierra, </w:t>
            </w:r>
            <w:proofErr w:type="spellStart"/>
            <w:r w:rsidRPr="007E3D0C">
              <w:t>IMDOSOC</w:t>
            </w:r>
            <w:proofErr w:type="spellEnd"/>
            <w:r w:rsidRPr="007E3D0C">
              <w:t xml:space="preserve"> 2000 (varias  reediciones)</w:t>
            </w:r>
          </w:p>
          <w:p w:rsidR="007E3D0C" w:rsidRPr="007E3D0C" w:rsidRDefault="007E3D0C" w:rsidP="007E3D0C">
            <w:pPr>
              <w:pStyle w:val="Prrafodelista"/>
              <w:numPr>
                <w:ilvl w:val="0"/>
                <w:numId w:val="8"/>
              </w:numPr>
              <w:ind w:left="459"/>
            </w:pPr>
            <w:r w:rsidRPr="007E3D0C">
              <w:t xml:space="preserve">Comentario teológico a la Declaración </w:t>
            </w:r>
            <w:proofErr w:type="spellStart"/>
            <w:r w:rsidRPr="007E3D0C">
              <w:rPr>
                <w:i/>
              </w:rPr>
              <w:t>Dominus</w:t>
            </w:r>
            <w:proofErr w:type="spellEnd"/>
            <w:r w:rsidRPr="007E3D0C">
              <w:rPr>
                <w:i/>
              </w:rPr>
              <w:t xml:space="preserve"> </w:t>
            </w:r>
            <w:proofErr w:type="spellStart"/>
            <w:r w:rsidRPr="007E3D0C">
              <w:rPr>
                <w:i/>
              </w:rPr>
              <w:t>Iesus</w:t>
            </w:r>
            <w:proofErr w:type="spellEnd"/>
            <w:r w:rsidRPr="007E3D0C">
              <w:t xml:space="preserve">. Documentos de estudio, teólogos latinoamericanos, </w:t>
            </w:r>
            <w:proofErr w:type="spellStart"/>
            <w:r w:rsidRPr="007E3D0C">
              <w:t>CELAM</w:t>
            </w:r>
            <w:proofErr w:type="spellEnd"/>
            <w:r w:rsidRPr="007E3D0C">
              <w:t xml:space="preserve"> 2001.</w:t>
            </w:r>
          </w:p>
          <w:p w:rsidR="007E3D0C" w:rsidRPr="007E3D0C" w:rsidRDefault="007E3D0C" w:rsidP="007E3D0C">
            <w:pPr>
              <w:pStyle w:val="Prrafodelista"/>
              <w:numPr>
                <w:ilvl w:val="0"/>
                <w:numId w:val="8"/>
              </w:numPr>
              <w:ind w:left="459"/>
            </w:pPr>
            <w:r w:rsidRPr="007E3D0C">
              <w:t>México ¿siempre fiel? Manejo de los medios de comunicación de la imagen de Juan Pablo II. Universidad Pontificia de México, 2004.</w:t>
            </w:r>
          </w:p>
          <w:p w:rsidR="007E3D0C" w:rsidRPr="007E3D0C" w:rsidRDefault="007E3D0C" w:rsidP="007E3D0C">
            <w:pPr>
              <w:pStyle w:val="Prrafodelista"/>
              <w:numPr>
                <w:ilvl w:val="0"/>
                <w:numId w:val="8"/>
              </w:numPr>
              <w:ind w:left="459"/>
            </w:pPr>
            <w:r w:rsidRPr="007E3D0C">
              <w:t>Agustín de Hipona: La Iglesia entre la unidad y la ruptura. Familia, Agustiniana Mexicana, 2005.</w:t>
            </w:r>
          </w:p>
          <w:p w:rsidR="007E3D0C" w:rsidRPr="007E3D0C" w:rsidRDefault="007E3D0C" w:rsidP="007E3D0C">
            <w:pPr>
              <w:pStyle w:val="Prrafodelista"/>
              <w:numPr>
                <w:ilvl w:val="0"/>
                <w:numId w:val="8"/>
              </w:numPr>
              <w:ind w:left="459"/>
            </w:pPr>
            <w:proofErr w:type="spellStart"/>
            <w:r w:rsidRPr="007E3D0C">
              <w:t>A.A.V.V</w:t>
            </w:r>
            <w:proofErr w:type="spellEnd"/>
            <w:r w:rsidRPr="007E3D0C">
              <w:t>. En colaboración ¿Es verdad que Dios no ha muerto? Diálogos desde la filosofía, la teología y la ciencia. México 2009.</w:t>
            </w:r>
          </w:p>
          <w:p w:rsidR="007E3D0C" w:rsidRPr="007E3D0C" w:rsidRDefault="007E3D0C" w:rsidP="007E3D0C">
            <w:pPr>
              <w:pStyle w:val="Prrafodelista"/>
              <w:numPr>
                <w:ilvl w:val="0"/>
                <w:numId w:val="8"/>
              </w:numPr>
              <w:ind w:left="459"/>
            </w:pPr>
            <w:r w:rsidRPr="007E3D0C">
              <w:t xml:space="preserve">Diversos artículos en la Revista del </w:t>
            </w:r>
            <w:proofErr w:type="spellStart"/>
            <w:r w:rsidRPr="007E3D0C">
              <w:t>ISEE</w:t>
            </w:r>
            <w:proofErr w:type="spellEnd"/>
            <w:r w:rsidRPr="007E3D0C">
              <w:t xml:space="preserve">, de la </w:t>
            </w:r>
            <w:proofErr w:type="spellStart"/>
            <w:r w:rsidRPr="007E3D0C">
              <w:t>UPM</w:t>
            </w:r>
            <w:proofErr w:type="spellEnd"/>
            <w:r w:rsidRPr="007E3D0C">
              <w:t xml:space="preserve">, del </w:t>
            </w:r>
            <w:proofErr w:type="spellStart"/>
            <w:r w:rsidRPr="007E3D0C">
              <w:t>IMDOSOC</w:t>
            </w:r>
            <w:proofErr w:type="spellEnd"/>
            <w:r w:rsidRPr="007E3D0C">
              <w:t xml:space="preserve"> y otras más.</w:t>
            </w:r>
          </w:p>
          <w:p w:rsidR="007E3D0C" w:rsidRPr="007E3D0C" w:rsidRDefault="007E3D0C" w:rsidP="007E3D0C">
            <w:pPr>
              <w:pStyle w:val="Prrafodelista"/>
              <w:numPr>
                <w:ilvl w:val="0"/>
                <w:numId w:val="8"/>
              </w:numPr>
              <w:ind w:left="459"/>
            </w:pPr>
            <w:r w:rsidRPr="007E3D0C">
              <w:t>Muchas participaciones en Congresos y conferencias.</w:t>
            </w:r>
          </w:p>
          <w:p w:rsidR="007E3D0C" w:rsidRPr="007E3D0C" w:rsidRDefault="007E3D0C" w:rsidP="007E3D0C">
            <w:pPr>
              <w:pStyle w:val="Prrafodelista"/>
              <w:numPr>
                <w:ilvl w:val="0"/>
                <w:numId w:val="8"/>
              </w:numPr>
              <w:ind w:left="459"/>
            </w:pPr>
            <w:r w:rsidRPr="007E3D0C">
              <w:t xml:space="preserve">Creación y misterio trinitario en la patrología, en: IV Simposio Latinoamericano de Teología India. El sueño </w:t>
            </w:r>
            <w:r w:rsidRPr="007E3D0C">
              <w:lastRenderedPageBreak/>
              <w:t xml:space="preserve">de Dios en la creación humana y en el cosmos. Lima, Perú 2011. </w:t>
            </w:r>
            <w:proofErr w:type="spellStart"/>
            <w:r w:rsidRPr="007E3D0C">
              <w:t>Celam</w:t>
            </w:r>
            <w:proofErr w:type="spellEnd"/>
            <w:r w:rsidRPr="007E3D0C">
              <w:t>, Bogotá 2013, 197-212.</w:t>
            </w:r>
          </w:p>
          <w:p w:rsidR="007E3D0C" w:rsidRPr="007E3D0C" w:rsidRDefault="007E3D0C" w:rsidP="00870D9D">
            <w:pPr>
              <w:pStyle w:val="Prrafodelista"/>
              <w:numPr>
                <w:ilvl w:val="0"/>
                <w:numId w:val="8"/>
              </w:numPr>
              <w:ind w:left="459"/>
            </w:pPr>
            <w:r w:rsidRPr="007E3D0C">
              <w:t xml:space="preserve">La revelación en la Teología Católica, en: V Simposio de Teología India, Revelación de Dios y Pueblos </w:t>
            </w:r>
            <w:r>
              <w:t>O</w:t>
            </w:r>
            <w:r w:rsidRPr="007E3D0C">
              <w:t>riginarios. San Cristóbal de las Casas, C</w:t>
            </w:r>
            <w:r>
              <w:t xml:space="preserve">hiapas 2014. </w:t>
            </w:r>
            <w:proofErr w:type="spellStart"/>
            <w:r>
              <w:t>Celam</w:t>
            </w:r>
            <w:proofErr w:type="spellEnd"/>
            <w:r>
              <w:t xml:space="preserve">, Bogotá 2015, </w:t>
            </w:r>
            <w:r w:rsidRPr="007E3D0C">
              <w:t>75-104.</w:t>
            </w:r>
          </w:p>
          <w:p w:rsidR="007E3D0C" w:rsidRPr="007E3D0C" w:rsidRDefault="007E3D0C" w:rsidP="007E3D0C">
            <w:pPr>
              <w:pStyle w:val="Prrafodelista"/>
              <w:numPr>
                <w:ilvl w:val="0"/>
                <w:numId w:val="8"/>
              </w:numPr>
              <w:ind w:left="459"/>
            </w:pPr>
            <w:r w:rsidRPr="007E3D0C">
              <w:t xml:space="preserve">La </w:t>
            </w:r>
            <w:proofErr w:type="spellStart"/>
            <w:r w:rsidRPr="007E3D0C">
              <w:t>sinodalidad</w:t>
            </w:r>
            <w:proofErr w:type="spellEnd"/>
            <w:r w:rsidRPr="007E3D0C">
              <w:t xml:space="preserve"> como una respu</w:t>
            </w:r>
            <w:bookmarkStart w:id="0" w:name="_GoBack"/>
            <w:bookmarkEnd w:id="0"/>
            <w:r w:rsidRPr="007E3D0C">
              <w:t>esta estructural, en: D. Portillo (coord.)</w:t>
            </w:r>
            <w:r>
              <w:t xml:space="preserve"> </w:t>
            </w:r>
          </w:p>
          <w:p w:rsidR="00232EF3" w:rsidRPr="00DD6CBB" w:rsidRDefault="007E3D0C" w:rsidP="007E3D0C">
            <w:pPr>
              <w:pStyle w:val="Prrafodelista"/>
              <w:numPr>
                <w:ilvl w:val="0"/>
                <w:numId w:val="8"/>
              </w:numPr>
              <w:ind w:left="459"/>
            </w:pPr>
            <w:r w:rsidRPr="007E3D0C">
              <w:t>Tolerancia Cero. Estudio interdisciplinar sobre la prevención de los</w:t>
            </w:r>
            <w:r>
              <w:t xml:space="preserve"> </w:t>
            </w:r>
            <w:r w:rsidRPr="007E3D0C">
              <w:t>abusos en la Igle</w:t>
            </w:r>
            <w:r>
              <w:t xml:space="preserve">sia </w:t>
            </w:r>
            <w:proofErr w:type="spellStart"/>
            <w:r>
              <w:t>PPC</w:t>
            </w:r>
            <w:proofErr w:type="spellEnd"/>
            <w:r>
              <w:t xml:space="preserve">, </w:t>
            </w:r>
            <w:proofErr w:type="spellStart"/>
            <w:r>
              <w:t>C.D</w:t>
            </w:r>
            <w:proofErr w:type="spellEnd"/>
            <w:r>
              <w:t xml:space="preserve">. de México 2019, </w:t>
            </w:r>
            <w:r w:rsidRPr="007E3D0C">
              <w:t>135-144</w:t>
            </w:r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lastRenderedPageBreak/>
              <w:t>Asignatura(s) que imparte</w:t>
            </w:r>
          </w:p>
        </w:tc>
        <w:tc>
          <w:tcPr>
            <w:tcW w:w="6460" w:type="dxa"/>
          </w:tcPr>
          <w:p w:rsidR="00B77F45" w:rsidRDefault="007E3D0C" w:rsidP="00B77F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 de la Teología I</w:t>
            </w:r>
          </w:p>
          <w:p w:rsidR="007E3D0C" w:rsidRPr="000C79F2" w:rsidRDefault="007E3D0C" w:rsidP="00B77F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Hermenéutica de </w:t>
            </w:r>
            <w:r w:rsidR="000265B5">
              <w:rPr>
                <w:rFonts w:ascii="Times New Roman" w:hAnsi="Times New Roman" w:cs="Times New Roman"/>
                <w:sz w:val="32"/>
                <w:szCs w:val="32"/>
              </w:rPr>
              <w:t>textos de la Antigüedad cristiana</w:t>
            </w:r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  <w:r w:rsidRPr="006818D1">
              <w:rPr>
                <w:rFonts w:asciiTheme="majorHAnsi" w:hAnsiTheme="majorHAnsi"/>
                <w:sz w:val="34"/>
                <w:szCs w:val="34"/>
              </w:rPr>
              <w:t>Correo Electrónico</w:t>
            </w:r>
          </w:p>
        </w:tc>
        <w:tc>
          <w:tcPr>
            <w:tcW w:w="6460" w:type="dxa"/>
          </w:tcPr>
          <w:p w:rsidR="00CB49E2" w:rsidRPr="000C79F2" w:rsidRDefault="00CB49E2" w:rsidP="00CB49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C22C8" w:rsidRDefault="008C22C8"/>
    <w:p w:rsidR="003D488F" w:rsidRDefault="003D488F"/>
    <w:p w:rsidR="00427DD7" w:rsidRDefault="00427DD7"/>
    <w:p w:rsidR="00427DD7" w:rsidRDefault="00427DD7"/>
    <w:sectPr w:rsidR="00427DD7" w:rsidSect="00912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37" w:rsidRDefault="00875B37" w:rsidP="008A7AAE">
      <w:pPr>
        <w:spacing w:after="0" w:line="240" w:lineRule="auto"/>
      </w:pPr>
      <w:r>
        <w:separator/>
      </w:r>
    </w:p>
  </w:endnote>
  <w:endnote w:type="continuationSeparator" w:id="0">
    <w:p w:rsidR="00875B37" w:rsidRDefault="00875B37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37" w:rsidRDefault="00875B37" w:rsidP="008A7AAE">
      <w:pPr>
        <w:spacing w:after="0" w:line="240" w:lineRule="auto"/>
      </w:pPr>
      <w:r>
        <w:separator/>
      </w:r>
    </w:p>
  </w:footnote>
  <w:footnote w:type="continuationSeparator" w:id="0">
    <w:p w:rsidR="00875B37" w:rsidRDefault="00875B37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875B3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1" type="#_x0000_t75" style="position:absolute;margin-left:0;margin-top:0;width:441.85pt;height:447.45pt;z-index:-251654144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875B3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0" type="#_x0000_t75" style="position:absolute;margin-left:0;margin-top:0;width:441.85pt;height:447.45pt;z-index:-25165312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875B3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49" type="#_x0000_t75" style="position:absolute;margin-left:0;margin-top:0;width:441.85pt;height:447.45pt;z-index:-251655168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586E"/>
    <w:multiLevelType w:val="hybridMultilevel"/>
    <w:tmpl w:val="77707666"/>
    <w:lvl w:ilvl="0" w:tplc="B1DCCC64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442407"/>
    <w:multiLevelType w:val="hybridMultilevel"/>
    <w:tmpl w:val="C31221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16951"/>
    <w:multiLevelType w:val="hybridMultilevel"/>
    <w:tmpl w:val="CDD62E8E"/>
    <w:lvl w:ilvl="0" w:tplc="8D7411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0BD4"/>
    <w:multiLevelType w:val="hybridMultilevel"/>
    <w:tmpl w:val="044884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D2EB7"/>
    <w:multiLevelType w:val="hybridMultilevel"/>
    <w:tmpl w:val="0012EEEE"/>
    <w:lvl w:ilvl="0" w:tplc="C0087F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EA4BFB"/>
    <w:multiLevelType w:val="hybridMultilevel"/>
    <w:tmpl w:val="5FBE6A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90547"/>
    <w:multiLevelType w:val="hybridMultilevel"/>
    <w:tmpl w:val="2D7A00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648C4"/>
    <w:multiLevelType w:val="hybridMultilevel"/>
    <w:tmpl w:val="7CC8A2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67"/>
    <w:rsid w:val="000265B5"/>
    <w:rsid w:val="000328BF"/>
    <w:rsid w:val="00040885"/>
    <w:rsid w:val="00060600"/>
    <w:rsid w:val="00070E85"/>
    <w:rsid w:val="00095CBA"/>
    <w:rsid w:val="000A31EE"/>
    <w:rsid w:val="000C79F2"/>
    <w:rsid w:val="000E628F"/>
    <w:rsid w:val="000F57B4"/>
    <w:rsid w:val="00167C07"/>
    <w:rsid w:val="001A28FC"/>
    <w:rsid w:val="001B6001"/>
    <w:rsid w:val="001D7328"/>
    <w:rsid w:val="001E3EC7"/>
    <w:rsid w:val="001F2CB4"/>
    <w:rsid w:val="001F4BE3"/>
    <w:rsid w:val="00212030"/>
    <w:rsid w:val="00232EF3"/>
    <w:rsid w:val="00251979"/>
    <w:rsid w:val="00271C9C"/>
    <w:rsid w:val="00284D49"/>
    <w:rsid w:val="002B3FFF"/>
    <w:rsid w:val="002E3187"/>
    <w:rsid w:val="003077B1"/>
    <w:rsid w:val="00327D23"/>
    <w:rsid w:val="00365133"/>
    <w:rsid w:val="003A2BBE"/>
    <w:rsid w:val="003D488F"/>
    <w:rsid w:val="003E2882"/>
    <w:rsid w:val="00422C1B"/>
    <w:rsid w:val="00427DD7"/>
    <w:rsid w:val="00431180"/>
    <w:rsid w:val="004402AD"/>
    <w:rsid w:val="00487224"/>
    <w:rsid w:val="004B25DA"/>
    <w:rsid w:val="004E008C"/>
    <w:rsid w:val="004E2312"/>
    <w:rsid w:val="00505D6B"/>
    <w:rsid w:val="00554A21"/>
    <w:rsid w:val="00566CD6"/>
    <w:rsid w:val="00585648"/>
    <w:rsid w:val="00587B9A"/>
    <w:rsid w:val="005F1D5E"/>
    <w:rsid w:val="005F23B5"/>
    <w:rsid w:val="006046D9"/>
    <w:rsid w:val="00606ED2"/>
    <w:rsid w:val="006220E6"/>
    <w:rsid w:val="00622487"/>
    <w:rsid w:val="00631B6A"/>
    <w:rsid w:val="006343F5"/>
    <w:rsid w:val="0066521C"/>
    <w:rsid w:val="006818D1"/>
    <w:rsid w:val="006A1D6F"/>
    <w:rsid w:val="006D4597"/>
    <w:rsid w:val="006F4264"/>
    <w:rsid w:val="006F4571"/>
    <w:rsid w:val="00706486"/>
    <w:rsid w:val="007504B3"/>
    <w:rsid w:val="0075741A"/>
    <w:rsid w:val="00773E18"/>
    <w:rsid w:val="00794A89"/>
    <w:rsid w:val="007A2654"/>
    <w:rsid w:val="007C15DD"/>
    <w:rsid w:val="007E3D0C"/>
    <w:rsid w:val="007F1799"/>
    <w:rsid w:val="007F69CB"/>
    <w:rsid w:val="00823FEB"/>
    <w:rsid w:val="00825689"/>
    <w:rsid w:val="008453EB"/>
    <w:rsid w:val="00863A46"/>
    <w:rsid w:val="00865EA4"/>
    <w:rsid w:val="00875B37"/>
    <w:rsid w:val="00877D3C"/>
    <w:rsid w:val="008A7AAE"/>
    <w:rsid w:val="008C22C8"/>
    <w:rsid w:val="008D1367"/>
    <w:rsid w:val="008F335F"/>
    <w:rsid w:val="009045C2"/>
    <w:rsid w:val="00912E6C"/>
    <w:rsid w:val="00980286"/>
    <w:rsid w:val="00997CA9"/>
    <w:rsid w:val="009A331B"/>
    <w:rsid w:val="009B268B"/>
    <w:rsid w:val="009C6435"/>
    <w:rsid w:val="009D129D"/>
    <w:rsid w:val="009E5C3F"/>
    <w:rsid w:val="009F56CB"/>
    <w:rsid w:val="00A36B33"/>
    <w:rsid w:val="00A92089"/>
    <w:rsid w:val="00AB2DCE"/>
    <w:rsid w:val="00AC31FC"/>
    <w:rsid w:val="00AC55D6"/>
    <w:rsid w:val="00AF5072"/>
    <w:rsid w:val="00B07BCF"/>
    <w:rsid w:val="00B10BD9"/>
    <w:rsid w:val="00B33EC1"/>
    <w:rsid w:val="00B63142"/>
    <w:rsid w:val="00B77F45"/>
    <w:rsid w:val="00BA07D9"/>
    <w:rsid w:val="00BA38A1"/>
    <w:rsid w:val="00BE6F63"/>
    <w:rsid w:val="00C242D1"/>
    <w:rsid w:val="00C456A8"/>
    <w:rsid w:val="00C9370C"/>
    <w:rsid w:val="00CA28F3"/>
    <w:rsid w:val="00CB49E2"/>
    <w:rsid w:val="00CD460A"/>
    <w:rsid w:val="00CF76E4"/>
    <w:rsid w:val="00D22D47"/>
    <w:rsid w:val="00D31689"/>
    <w:rsid w:val="00D77BA5"/>
    <w:rsid w:val="00D92A5C"/>
    <w:rsid w:val="00DC5DF3"/>
    <w:rsid w:val="00DD6CBB"/>
    <w:rsid w:val="00E138C4"/>
    <w:rsid w:val="00E408C5"/>
    <w:rsid w:val="00E85695"/>
    <w:rsid w:val="00E86B24"/>
    <w:rsid w:val="00EB16B9"/>
    <w:rsid w:val="00EC1A4C"/>
    <w:rsid w:val="00EC516E"/>
    <w:rsid w:val="00F148CB"/>
    <w:rsid w:val="00F166FB"/>
    <w:rsid w:val="00F66412"/>
    <w:rsid w:val="00F948AD"/>
    <w:rsid w:val="00FA2470"/>
    <w:rsid w:val="00FD116A"/>
    <w:rsid w:val="00FD5418"/>
    <w:rsid w:val="00FE797C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84DA279-5B92-4352-A135-7FC79A64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paragraph" w:styleId="Prrafodelista">
    <w:name w:val="List Paragraph"/>
    <w:basedOn w:val="Normal"/>
    <w:uiPriority w:val="34"/>
    <w:qFormat/>
    <w:rsid w:val="000C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8848F-F089-4CA4-B5F9-4ED0CCA4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nayeliivonne albamathias</cp:lastModifiedBy>
  <cp:revision>3</cp:revision>
  <dcterms:created xsi:type="dcterms:W3CDTF">2019-11-26T04:09:00Z</dcterms:created>
  <dcterms:modified xsi:type="dcterms:W3CDTF">2019-11-26T04:13:00Z</dcterms:modified>
</cp:coreProperties>
</file>